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4C01" w14:textId="77777777" w:rsidR="00E13C08" w:rsidRPr="00E13C08" w:rsidRDefault="00E13C08" w:rsidP="00E13C08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r w:rsidRPr="00E13C08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L’inclusion du plomb dans l’indice Bloomberg lui ouvre des perspectives</w:t>
      </w:r>
    </w:p>
    <w:p w14:paraId="2B5EEE62" w14:textId="77777777" w:rsidR="00E13C08" w:rsidRDefault="00E13C08" w:rsidP="00E13C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0CDF07CB" w14:textId="05D73027" w:rsidR="00E13C08" w:rsidRPr="00E13C08" w:rsidRDefault="00E13C08" w:rsidP="00E13C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E13C08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L’inclusion, pour la première fois, du plomb dans l’indice de référence des matières premières BCOM de Bloomberg devrait inciter les traders et les gestionnaires de fonds à miser davantage sur le métal utilisé principalement dans les batteries de voitures thermiques.</w:t>
      </w:r>
    </w:p>
    <w:p w14:paraId="633A9FA8" w14:textId="77777777" w:rsidR="00E13C08" w:rsidRPr="00E13C08" w:rsidRDefault="00E13C08" w:rsidP="00E13C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5B0BD09D" w14:textId="77777777" w:rsidR="00E13C08" w:rsidRPr="00E13C08" w:rsidRDefault="00E13C08" w:rsidP="00E13C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 plomb sera ainsi, à compter du 1</w:t>
      </w:r>
      <w:r w:rsidRPr="00E13C08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FR"/>
        </w:rPr>
        <w:t>er</w:t>
      </w: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janvier 2023, le 24</w:t>
      </w:r>
      <w:r w:rsidRPr="00E13C08">
        <w:rPr>
          <w:rFonts w:ascii="Lato" w:eastAsia="Times New Roman" w:hAnsi="Lato" w:cs="Times New Roman"/>
          <w:color w:val="000000"/>
          <w:sz w:val="23"/>
          <w:szCs w:val="23"/>
          <w:vertAlign w:val="superscript"/>
          <w:lang w:eastAsia="fr-FR"/>
        </w:rPr>
        <w:t>ème</w:t>
      </w: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élément de l’indice à peser sur son évolution. « </w:t>
      </w:r>
      <w:r w:rsidRPr="00E13C08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Les gestionnaires de fonds, qui suivent l’indice, seront obligés d’acheter des contrats de plomb en janvier. Les cours ont bondi, vendredi 28 octobre, à l’annonce de l’information, reflétant l’anticipation des futurs achats</w:t>
      </w: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», souligne Tom </w:t>
      </w:r>
      <w:proofErr w:type="spellStart"/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Ulqueen</w:t>
      </w:r>
      <w:proofErr w:type="spellEnd"/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de Citi. Les cours ont bondi de 8,3% le 28 octobre à un pic de 2.019,5 $/t. Le métal mou est depuis redescendu aux alentours de 1.970 $/t. Le plomb pèsera à hauteur de 0,936% dans l’indice, contre 5,23% pour le cuivre.</w:t>
      </w:r>
    </w:p>
    <w:p w14:paraId="6F4EF60B" w14:textId="77777777" w:rsidR="00E13C08" w:rsidRPr="00E13C08" w:rsidRDefault="00E13C08" w:rsidP="00E13C08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La production de plomb a suffisamment progressé au cours des années passées, et même si les liquidités sur ce marché ont reculé, il est qualifié pour être intégré dans l’indice, a expliqué Bloomberg : « </w:t>
      </w:r>
      <w:r w:rsidRPr="00E13C08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FR"/>
        </w:rPr>
        <w:t>Le plomb avait, jusqu’ici, échoué de peu à atteindre les seuils d’entrée dans l’indice</w:t>
      </w:r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 ». La production de plomb a progressé de 3,5% en 2021, à 12,38 millions de tonnes, selon l’International Lead and Zinc </w:t>
      </w:r>
      <w:proofErr w:type="spellStart"/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Study</w:t>
      </w:r>
      <w:proofErr w:type="spellEnd"/>
      <w:r w:rsidRPr="00E13C08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Group. Le volume d’échanges sur le plomb a reculé de 3,8% en 2021, à 10,3 millions de lots, tandis que son cours s’est apprécié de 16% sur l’année.</w:t>
      </w:r>
    </w:p>
    <w:p w14:paraId="47AC7787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08"/>
    <w:rsid w:val="000F156F"/>
    <w:rsid w:val="00CD0D9E"/>
    <w:rsid w:val="00DE48F8"/>
    <w:rsid w:val="00E1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3F3D8"/>
  <w15:chartTrackingRefBased/>
  <w15:docId w15:val="{E12C9DC9-0068-1D49-8F59-790D764C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13C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3C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C0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3C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E13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3C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3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13C08"/>
    <w:rPr>
      <w:b/>
      <w:bCs/>
    </w:rPr>
  </w:style>
  <w:style w:type="character" w:styleId="Accentuation">
    <w:name w:val="Emphasis"/>
    <w:basedOn w:val="Policepardfaut"/>
    <w:uiPriority w:val="20"/>
    <w:qFormat/>
    <w:rsid w:val="00E13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2022-11-08T06:35:00Z</dcterms:created>
  <dcterms:modified xsi:type="dcterms:W3CDTF">2022-11-08T06:36:00Z</dcterms:modified>
</cp:coreProperties>
</file>